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54"/>
        <w:gridCol w:w="9006"/>
      </w:tblGrid>
      <w:tr w:rsidR="00DB6965" w:rsidRPr="003A192E" w14:paraId="6CAF231F" w14:textId="77777777" w:rsidTr="003A192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7288298E" w14:textId="3838F7C6" w:rsidR="00DB6965" w:rsidRPr="003A192E" w:rsidRDefault="00DB6965" w:rsidP="003A192E">
            <w:pPr>
              <w:spacing w:before="120" w:after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A19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Worksheet 2: Writing Nonconformities </w:t>
            </w:r>
            <w:r w:rsidR="000D2646" w:rsidRPr="003A192E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4-70</w:t>
            </w:r>
          </w:p>
        </w:tc>
      </w:tr>
      <w:tr w:rsidR="0067777D" w:rsidRPr="003A192E" w14:paraId="4AB03D65" w14:textId="77777777" w:rsidTr="003A192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  <w:vAlign w:val="center"/>
          </w:tcPr>
          <w:p w14:paraId="15E343E4" w14:textId="77777777" w:rsidR="0067777D" w:rsidRPr="003A192E" w:rsidRDefault="0067777D" w:rsidP="003A192E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Directions: </w:t>
            </w:r>
            <w:r w:rsidRPr="003A192E">
              <w:rPr>
                <w:rFonts w:asciiTheme="minorHAnsi" w:hAnsiTheme="minorHAnsi" w:cstheme="minorHAnsi"/>
                <w:sz w:val="24"/>
              </w:rPr>
              <w:t>Decide if the scenario described should be cited as a nonconformity.  If so, then write a problem statement for the scenario.</w:t>
            </w: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</w:p>
        </w:tc>
      </w:tr>
      <w:tr w:rsidR="005A65FC" w:rsidRPr="003A192E" w14:paraId="18BDDC57" w14:textId="77777777" w:rsidTr="003A192E">
        <w:trPr>
          <w:jc w:val="center"/>
        </w:trPr>
        <w:tc>
          <w:tcPr>
            <w:tcW w:w="354" w:type="dxa"/>
            <w:vMerge w:val="restart"/>
            <w:vAlign w:val="center"/>
          </w:tcPr>
          <w:p w14:paraId="6630350A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26FA94E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9006" w:type="dxa"/>
          </w:tcPr>
          <w:p w14:paraId="70BF0C05" w14:textId="77777777" w:rsidR="0079339A" w:rsidRPr="003A192E" w:rsidRDefault="005A65FC" w:rsidP="003A192E">
            <w:pPr>
              <w:tabs>
                <w:tab w:val="left" w:pos="540"/>
              </w:tabs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Requirement </w:t>
            </w:r>
            <w:r w:rsidR="00A15F06" w:rsidRPr="003A192E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6C3D113A" w14:textId="77777777" w:rsidR="005A65FC" w:rsidRPr="003A192E" w:rsidRDefault="00983001" w:rsidP="003A192E">
            <w:pPr>
              <w:tabs>
                <w:tab w:val="left" w:pos="540"/>
              </w:tabs>
              <w:rPr>
                <w:rFonts w:asciiTheme="minorHAnsi" w:eastAsia="Garamond" w:hAnsiTheme="minorHAnsi" w:cstheme="minorHAnsi"/>
                <w:color w:val="000000"/>
                <w:sz w:val="24"/>
                <w:u w:val="single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SLIPTA </w:t>
            </w:r>
            <w:r w:rsidR="0092502B" w:rsidRPr="003A192E">
              <w:rPr>
                <w:rFonts w:asciiTheme="minorHAnsi" w:hAnsiTheme="minorHAnsi" w:cstheme="minorHAnsi"/>
                <w:b/>
                <w:sz w:val="24"/>
              </w:rPr>
              <w:t>1.5</w:t>
            </w:r>
            <w:r w:rsidR="0092502B"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2502B" w:rsidRPr="003A192E">
              <w:rPr>
                <w:rFonts w:asciiTheme="minorHAnsi" w:eastAsia="Garamond" w:hAnsiTheme="minorHAnsi" w:cstheme="minorHAnsi"/>
                <w:b/>
                <w:color w:val="000000"/>
                <w:sz w:val="24"/>
                <w:u w:val="single"/>
              </w:rPr>
              <w:t xml:space="preserve">Authorization </w:t>
            </w:r>
            <w:r w:rsidR="0092502B" w:rsidRPr="003A192E">
              <w:rPr>
                <w:rFonts w:asciiTheme="minorHAnsi" w:eastAsia="Garamond" w:hAnsiTheme="minorHAnsi" w:cstheme="minorHAnsi"/>
                <w:color w:val="000000"/>
                <w:sz w:val="24"/>
              </w:rPr>
              <w:t>How</w:t>
            </w:r>
            <w:r w:rsidR="0079339A" w:rsidRPr="003A192E">
              <w:rPr>
                <w:rFonts w:asciiTheme="minorHAnsi" w:eastAsia="Garamond" w:hAnsiTheme="minorHAnsi" w:cstheme="minorHAnsi"/>
                <w:color w:val="000000"/>
                <w:sz w:val="24"/>
                <w:u w:color="000000"/>
              </w:rPr>
              <w:t xml:space="preserve"> the laboratory will: 1) document authorization levels for the different tasks and roles</w:t>
            </w:r>
          </w:p>
          <w:p w14:paraId="7DCAD02F" w14:textId="77777777" w:rsidR="00A15F06" w:rsidRPr="003A192E" w:rsidRDefault="009F7AEF" w:rsidP="003A192E">
            <w:pPr>
              <w:tabs>
                <w:tab w:val="left" w:pos="547"/>
              </w:tabs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SLIPTA 5.13</w:t>
            </w:r>
            <w:r w:rsidR="00983001"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  <w:r w:rsidR="0079339A"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>Equipment Repair Monitoring and Documentation</w:t>
            </w:r>
            <w:r w:rsidR="005039AD" w:rsidRPr="003A192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79339A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Are repair orders monitored to determine if the service is completed? </w:t>
            </w: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79339A" w:rsidRPr="003A192E">
              <w:rPr>
                <w:rFonts w:asciiTheme="minorHAnsi" w:hAnsiTheme="minorHAnsi" w:cstheme="minorHAnsi"/>
                <w:sz w:val="24"/>
                <w:u w:color="000000"/>
              </w:rPr>
              <w:t>Does the laboratory verify and document the equipment is in proper working order before being put it back into service?</w:t>
            </w:r>
          </w:p>
          <w:p w14:paraId="68A18D7D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A65FC" w:rsidRPr="003A192E" w14:paraId="77639A51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46BAA69C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01968093" w14:textId="77777777" w:rsidR="00983001" w:rsidRPr="003A192E" w:rsidRDefault="005A65FC" w:rsidP="003A192E">
            <w:pPr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Evidence</w:t>
            </w:r>
            <w:r w:rsidR="008550D1" w:rsidRPr="003A192E">
              <w:rPr>
                <w:rFonts w:asciiTheme="minorHAnsi" w:hAnsiTheme="minorHAnsi" w:cstheme="minorHAnsi"/>
                <w:b/>
                <w:sz w:val="24"/>
              </w:rPr>
              <w:t xml:space="preserve"> –</w:t>
            </w:r>
            <w:r w:rsidR="008550D1" w:rsidRPr="003A192E"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  <w:t xml:space="preserve"> </w:t>
            </w:r>
          </w:p>
          <w:p w14:paraId="05CF28F9" w14:textId="77777777" w:rsidR="005A65FC" w:rsidRPr="003A192E" w:rsidRDefault="008550D1" w:rsidP="003A192E">
            <w:pPr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</w:pPr>
            <w:r w:rsidRPr="003A192E"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  <w:t xml:space="preserve">The analytical staff </w:t>
            </w:r>
            <w:r w:rsidR="00F763B1" w:rsidRPr="003A192E"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  <w:t>expressed frustration with the bioengineers arriving after</w:t>
            </w:r>
            <w:r w:rsidR="006D5108" w:rsidRPr="003A192E"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  <w:t>-</w:t>
            </w:r>
            <w:r w:rsidR="00F763B1" w:rsidRPr="003A192E"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  <w:t xml:space="preserve">hours and leaving before ensuring the instrument is properly functioning.  </w:t>
            </w:r>
            <w:r w:rsidRPr="003A192E"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  <w:t xml:space="preserve">When reviewing service reports between </w:t>
            </w:r>
            <w:r w:rsidR="00DC0915" w:rsidRPr="003A192E">
              <w:rPr>
                <w:rFonts w:asciiTheme="minorHAnsi" w:eastAsiaTheme="minorEastAsia" w:hAnsiTheme="minorHAnsi" w:cstheme="minorHAnsi"/>
                <w:sz w:val="24"/>
                <w:lang w:val="en-US" w:eastAsia="en-US"/>
              </w:rPr>
              <w:t xml:space="preserve">June 2015 – January 2016, 9 out of 10 service reports from the biochemistry and hematology sections reflect a phlebotomist signature accepting the service rendered.  6 of the 10 service orders required follow-up visits to fix the original problem resulting in an additional 10 days of equipment downtime. </w:t>
            </w:r>
          </w:p>
        </w:tc>
      </w:tr>
      <w:tr w:rsidR="005A65FC" w:rsidRPr="003A192E" w14:paraId="33D5FD81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4324142A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5A2657B6" w14:textId="77777777" w:rsidR="005A65FC" w:rsidRPr="003A192E" w:rsidRDefault="005A65FC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Non-Conformance – </w:t>
            </w:r>
          </w:p>
          <w:p w14:paraId="0BFFD3C3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706B8FDE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697B220B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A65FC" w:rsidRPr="003A192E" w14:paraId="69769BC6" w14:textId="77777777" w:rsidTr="003A192E">
        <w:trPr>
          <w:jc w:val="center"/>
        </w:trPr>
        <w:tc>
          <w:tcPr>
            <w:tcW w:w="354" w:type="dxa"/>
            <w:vMerge w:val="restart"/>
            <w:vAlign w:val="center"/>
          </w:tcPr>
          <w:p w14:paraId="336AFADB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2A2677DB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9006" w:type="dxa"/>
          </w:tcPr>
          <w:p w14:paraId="20D0CD4D" w14:textId="77777777" w:rsidR="00983001" w:rsidRPr="003A192E" w:rsidRDefault="005A65FC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Requirement –</w:t>
            </w:r>
            <w:r w:rsidR="007305AE" w:rsidRPr="003A192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0560B40E" w14:textId="77777777" w:rsidR="005A65FC" w:rsidRPr="003A192E" w:rsidRDefault="00983001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 xml:space="preserve">CCHL’s </w:t>
            </w:r>
            <w:r w:rsidR="007305AE" w:rsidRPr="003A192E">
              <w:rPr>
                <w:rFonts w:asciiTheme="minorHAnsi" w:hAnsiTheme="minorHAnsi" w:cstheme="minorHAnsi"/>
                <w:sz w:val="24"/>
              </w:rPr>
              <w:t xml:space="preserve">Training and Competency Policy (QGen-Comp-Pl003) states that a score of 100% must be achieved to be determined </w:t>
            </w:r>
            <w:r w:rsidR="007305AE" w:rsidRPr="003A192E">
              <w:rPr>
                <w:rFonts w:asciiTheme="minorHAnsi" w:hAnsiTheme="minorHAnsi" w:cstheme="minorHAnsi"/>
                <w:i/>
                <w:sz w:val="24"/>
              </w:rPr>
              <w:t>competent</w:t>
            </w:r>
            <w:r w:rsidR="007305AE" w:rsidRPr="003A192E">
              <w:rPr>
                <w:rFonts w:asciiTheme="minorHAnsi" w:hAnsiTheme="minorHAnsi" w:cstheme="minorHAnsi"/>
                <w:sz w:val="24"/>
              </w:rPr>
              <w:t>.</w:t>
            </w:r>
          </w:p>
          <w:p w14:paraId="69E82F96" w14:textId="77777777" w:rsidR="0079339A" w:rsidRPr="003A192E" w:rsidRDefault="00983001" w:rsidP="003A192E">
            <w:pPr>
              <w:tabs>
                <w:tab w:val="left" w:pos="540"/>
              </w:tabs>
              <w:rPr>
                <w:rFonts w:asciiTheme="minorHAnsi" w:eastAsia="Garamond" w:hAnsiTheme="minorHAnsi" w:cstheme="minorHAnsi"/>
                <w:color w:val="000000"/>
                <w:sz w:val="24"/>
                <w:u w:val="single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SLIPTA 1.5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A192E">
              <w:rPr>
                <w:rFonts w:asciiTheme="minorHAnsi" w:eastAsia="Garamond" w:hAnsiTheme="minorHAnsi" w:cstheme="minorHAnsi"/>
                <w:b/>
                <w:color w:val="000000"/>
                <w:sz w:val="24"/>
                <w:u w:val="single"/>
              </w:rPr>
              <w:t>Competency</w:t>
            </w:r>
            <w:r w:rsidR="0079339A" w:rsidRPr="003A192E">
              <w:rPr>
                <w:rFonts w:asciiTheme="minorHAnsi" w:eastAsia="Garamond" w:hAnsiTheme="minorHAnsi" w:cstheme="minorHAnsi"/>
                <w:b/>
                <w:color w:val="000000"/>
                <w:sz w:val="24"/>
                <w:u w:val="single"/>
              </w:rPr>
              <w:t xml:space="preserve"> </w:t>
            </w:r>
            <w:r w:rsidR="0092502B" w:rsidRPr="003A192E">
              <w:rPr>
                <w:rFonts w:asciiTheme="minorHAnsi" w:eastAsia="Garamond" w:hAnsiTheme="minorHAnsi" w:cstheme="minorHAnsi"/>
                <w:b/>
                <w:color w:val="000000"/>
                <w:sz w:val="24"/>
                <w:u w:val="single"/>
              </w:rPr>
              <w:t xml:space="preserve">Assessment </w:t>
            </w:r>
            <w:r w:rsidR="0092502B" w:rsidRPr="003A192E">
              <w:rPr>
                <w:rFonts w:asciiTheme="minorHAnsi" w:eastAsia="Garamond" w:hAnsiTheme="minorHAnsi" w:cstheme="minorHAnsi"/>
                <w:color w:val="000000"/>
                <w:sz w:val="24"/>
              </w:rPr>
              <w:t>How</w:t>
            </w:r>
            <w:r w:rsidR="0079339A" w:rsidRPr="003A192E">
              <w:rPr>
                <w:rFonts w:asciiTheme="minorHAnsi" w:eastAsia="Garamond" w:hAnsiTheme="minorHAnsi" w:cstheme="minorHAnsi"/>
                <w:color w:val="000000"/>
                <w:sz w:val="24"/>
                <w:u w:color="000000"/>
              </w:rPr>
              <w:t xml:space="preserve"> the laboratory will: 1) assess the competence of personnel to perform assigned managerial or technical tasks; 2) assess ongoing competency; 3) establish competency criteria; 4) provide feedback to persons assessed; 5) schedule retraining based on the assessment outcome; 6) keep records of competency assessments and outcomes?</w:t>
            </w:r>
          </w:p>
          <w:p w14:paraId="0B7677AB" w14:textId="77777777" w:rsidR="0079339A" w:rsidRPr="003A192E" w:rsidRDefault="00983001" w:rsidP="003A192E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SLIPTA 3.8</w:t>
            </w:r>
            <w:r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  <w:r w:rsidR="0079339A"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>Staff Competency Assessment and retraining</w:t>
            </w:r>
            <w:r w:rsidR="005039AD" w:rsidRPr="003A192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79339A" w:rsidRPr="003A192E">
              <w:rPr>
                <w:rFonts w:asciiTheme="minorHAnsi" w:hAnsiTheme="minorHAnsi" w:cstheme="minorHAnsi"/>
                <w:sz w:val="24"/>
                <w:u w:color="000000"/>
              </w:rPr>
              <w:t>Is there a system for competency assessment that covers the following?</w:t>
            </w:r>
            <w:r w:rsidR="006D5108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</w:t>
            </w:r>
            <w:r w:rsidR="005039AD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a) </w:t>
            </w:r>
            <w:r w:rsidR="0079339A" w:rsidRPr="003A192E">
              <w:rPr>
                <w:rFonts w:asciiTheme="minorHAnsi" w:hAnsiTheme="minorHAnsi" w:cstheme="minorHAnsi"/>
                <w:sz w:val="24"/>
                <w:u w:color="000000"/>
              </w:rPr>
              <w:t>Are competency assessments performed according defined criteria?  b) New hires, c) Existing staff</w:t>
            </w:r>
            <w:r w:rsidR="006D5108" w:rsidRPr="003A192E">
              <w:rPr>
                <w:rFonts w:asciiTheme="minorHAnsi" w:hAnsiTheme="minorHAnsi" w:cstheme="minorHAnsi"/>
                <w:sz w:val="24"/>
                <w:u w:color="000000"/>
              </w:rPr>
              <w:t>, and</w:t>
            </w:r>
            <w:r w:rsidR="0079339A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</w:t>
            </w:r>
            <w:r w:rsidRPr="003A192E">
              <w:rPr>
                <w:rFonts w:asciiTheme="minorHAnsi" w:hAnsiTheme="minorHAnsi" w:cstheme="minorHAnsi"/>
                <w:sz w:val="24"/>
                <w:u w:color="000000"/>
              </w:rPr>
              <w:t>d) Retraining</w:t>
            </w:r>
            <w:r w:rsidR="0079339A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and re-assessment where needed</w:t>
            </w:r>
          </w:p>
          <w:p w14:paraId="5AD99D5B" w14:textId="77777777" w:rsidR="007305AE" w:rsidRPr="003A192E" w:rsidRDefault="007305AE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A65FC" w:rsidRPr="003A192E" w14:paraId="392CD138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0642F478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51A94488" w14:textId="77777777" w:rsidR="00983001" w:rsidRPr="003A192E" w:rsidRDefault="005A65FC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Evidence–</w:t>
            </w:r>
            <w:r w:rsidR="007305AE" w:rsidRPr="003A192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65B7044C" w14:textId="77777777" w:rsidR="005A65FC" w:rsidRPr="003A192E" w:rsidRDefault="00FA3C66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 xml:space="preserve">8 of the 10 competency records reviewed for the XYZ analyzer demonstrate a re-grading that then achieves a 100% score.  Of those 8, 7 achieved an initial score of greater than 90%.  However, 1 of the records (May 13, 2016) had an initial score of 43%. with no retraining performed.  Because the re-grading resulted in 100% </w:t>
            </w:r>
            <w:proofErr w:type="gramStart"/>
            <w:r w:rsidRPr="003A192E">
              <w:rPr>
                <w:rFonts w:asciiTheme="minorHAnsi" w:hAnsiTheme="minorHAnsi" w:cstheme="minorHAnsi"/>
                <w:sz w:val="24"/>
              </w:rPr>
              <w:t>through the use of</w:t>
            </w:r>
            <w:proofErr w:type="gramEnd"/>
            <w:r w:rsidRPr="003A192E">
              <w:rPr>
                <w:rFonts w:asciiTheme="minorHAnsi" w:hAnsiTheme="minorHAnsi" w:cstheme="minorHAnsi"/>
                <w:sz w:val="24"/>
              </w:rPr>
              <w:t xml:space="preserve"> recommendations, retraining was not considered necessary.</w:t>
            </w:r>
          </w:p>
        </w:tc>
      </w:tr>
      <w:tr w:rsidR="005A65FC" w:rsidRPr="003A192E" w14:paraId="423899FF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0763239E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  <w:tcBorders>
              <w:bottom w:val="single" w:sz="4" w:space="0" w:color="auto"/>
            </w:tcBorders>
          </w:tcPr>
          <w:p w14:paraId="015A28D0" w14:textId="77777777" w:rsidR="005A65FC" w:rsidRPr="003A192E" w:rsidRDefault="005A65FC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Non-Conformance – </w:t>
            </w:r>
          </w:p>
          <w:p w14:paraId="7ADC60D1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737B2709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56958C6A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419A4CD" w14:textId="04FD71BB" w:rsidR="003A192E" w:rsidRDefault="003A192E"/>
    <w:p w14:paraId="0A00C9B6" w14:textId="77777777" w:rsidR="003A192E" w:rsidRDefault="003A192E">
      <w:pPr>
        <w:spacing w:after="160" w:line="259" w:lineRule="auto"/>
      </w:pPr>
      <w:r>
        <w:br w:type="page"/>
      </w:r>
    </w:p>
    <w:p w14:paraId="31F45213" w14:textId="77777777" w:rsidR="003A192E" w:rsidRDefault="003A192E"/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54"/>
        <w:gridCol w:w="9006"/>
      </w:tblGrid>
      <w:tr w:rsidR="003A192E" w:rsidRPr="003A192E" w14:paraId="5E37A1CC" w14:textId="77777777" w:rsidTr="00CB4C79">
        <w:trPr>
          <w:jc w:val="center"/>
        </w:trPr>
        <w:tc>
          <w:tcPr>
            <w:tcW w:w="9360" w:type="dxa"/>
            <w:gridSpan w:val="2"/>
            <w:vAlign w:val="center"/>
          </w:tcPr>
          <w:p w14:paraId="7E31F958" w14:textId="06B6E5EF" w:rsidR="003A192E" w:rsidRPr="003A192E" w:rsidRDefault="003A192E" w:rsidP="003A192E">
            <w:pPr>
              <w:pStyle w:val="Header"/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</w:pPr>
            <w:bookmarkStart w:id="0" w:name="_GoBack"/>
            <w:r w:rsidRPr="003A19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Worksheet 2: Writing Nonconformities </w:t>
            </w:r>
            <w:r w:rsidRPr="003A192E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4-70</w:t>
            </w:r>
          </w:p>
        </w:tc>
      </w:tr>
      <w:bookmarkEnd w:id="0"/>
      <w:tr w:rsidR="005A65FC" w:rsidRPr="003A192E" w14:paraId="6378A867" w14:textId="77777777" w:rsidTr="003A192E">
        <w:trPr>
          <w:jc w:val="center"/>
        </w:trPr>
        <w:tc>
          <w:tcPr>
            <w:tcW w:w="354" w:type="dxa"/>
            <w:vMerge w:val="restart"/>
            <w:vAlign w:val="center"/>
          </w:tcPr>
          <w:p w14:paraId="174700A1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9EFDB16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9006" w:type="dxa"/>
          </w:tcPr>
          <w:p w14:paraId="21B4901E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Requirement –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2709A06C" w14:textId="77777777" w:rsidR="005A65FC" w:rsidRPr="003A192E" w:rsidRDefault="00983001" w:rsidP="003A192E">
            <w:pPr>
              <w:keepNext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SLIPTA 7.10</w:t>
            </w:r>
            <w:r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  <w:r w:rsidR="00EE4930"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>Product Expiration</w:t>
            </w:r>
            <w:r w:rsidR="00EE4930" w:rsidRPr="003A192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EE4930" w:rsidRPr="003A192E">
              <w:rPr>
                <w:rFonts w:asciiTheme="minorHAnsi" w:hAnsiTheme="minorHAnsi" w:cstheme="minorHAnsi"/>
                <w:sz w:val="24"/>
              </w:rPr>
              <w:t>Are all reagents/test kits in use (and in stock) currently within the manufacturer-assigned expiration or within stability?</w:t>
            </w:r>
          </w:p>
          <w:p w14:paraId="375C1AB0" w14:textId="77777777" w:rsidR="0067777D" w:rsidRPr="003A192E" w:rsidRDefault="0067777D" w:rsidP="003A192E">
            <w:pPr>
              <w:keepNext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</w:tc>
      </w:tr>
      <w:tr w:rsidR="005A65FC" w:rsidRPr="003A192E" w14:paraId="1DEAB7BB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26E168C9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307DBA0B" w14:textId="77777777" w:rsidR="00983001" w:rsidRPr="003A192E" w:rsidRDefault="005A65FC" w:rsidP="003A192E">
            <w:pPr>
              <w:rPr>
                <w:rFonts w:asciiTheme="minorHAnsi" w:hAnsiTheme="minorHAnsi" w:cstheme="minorHAnsi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Evidence–</w:t>
            </w:r>
            <w:r w:rsidRPr="003A192E">
              <w:rPr>
                <w:rFonts w:asciiTheme="minorHAnsi" w:hAnsiTheme="minorHAnsi" w:cstheme="minorHAnsi"/>
                <w:sz w:val="24"/>
              </w:rPr>
              <w:t>.</w:t>
            </w:r>
            <w:r w:rsidR="000E23BA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</w:t>
            </w:r>
          </w:p>
          <w:p w14:paraId="6256F55C" w14:textId="77777777" w:rsidR="003C740B" w:rsidRPr="003A192E" w:rsidRDefault="003C740B" w:rsidP="003A192E">
            <w:pPr>
              <w:rPr>
                <w:rFonts w:asciiTheme="minorHAnsi" w:hAnsiTheme="minorHAnsi" w:cstheme="minorHAnsi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sz w:val="24"/>
                <w:u w:color="000000"/>
              </w:rPr>
              <w:t>Date of Audit May 2, 2016</w:t>
            </w:r>
          </w:p>
          <w:p w14:paraId="3D0FC18F" w14:textId="77777777" w:rsidR="005A65FC" w:rsidRPr="003A192E" w:rsidRDefault="000E23BA" w:rsidP="003A192E">
            <w:pPr>
              <w:rPr>
                <w:rFonts w:asciiTheme="minorHAnsi" w:hAnsiTheme="minorHAnsi" w:cstheme="minorHAnsi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Pharmacy prepares the sodium citrate anticoagulant for the blue top tubes that have been previously washed.  All 8 blue top tubes in the phlebotomy section have an expiry date printed by the manufacturer of 10-2007.  </w:t>
            </w:r>
          </w:p>
          <w:p w14:paraId="20815D73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A65FC" w:rsidRPr="003A192E" w14:paraId="391F9F47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50974831" w14:textId="77777777" w:rsidR="005A65FC" w:rsidRPr="003A192E" w:rsidRDefault="005A65FC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56B94FAC" w14:textId="77777777" w:rsidR="005A65FC" w:rsidRPr="003A192E" w:rsidRDefault="005A65FC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Non-Conformance – </w:t>
            </w:r>
          </w:p>
          <w:p w14:paraId="1E326B74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0F50FF2F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315A70D6" w14:textId="77777777" w:rsidR="005039AD" w:rsidRPr="003A192E" w:rsidRDefault="005039AD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75A79582" w14:textId="77777777" w:rsidR="005A65FC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20110" w:rsidRPr="003A192E" w14:paraId="3F365FA9" w14:textId="77777777" w:rsidTr="003A192E">
        <w:trPr>
          <w:jc w:val="center"/>
        </w:trPr>
        <w:tc>
          <w:tcPr>
            <w:tcW w:w="354" w:type="dxa"/>
            <w:vMerge w:val="restart"/>
            <w:vAlign w:val="center"/>
          </w:tcPr>
          <w:p w14:paraId="0D2E34CC" w14:textId="77777777" w:rsidR="00F20110" w:rsidRPr="003A192E" w:rsidRDefault="00F20110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0AC2CF5" w14:textId="77777777" w:rsidR="00F20110" w:rsidRPr="003A192E" w:rsidRDefault="00461C9F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9006" w:type="dxa"/>
          </w:tcPr>
          <w:p w14:paraId="28458B59" w14:textId="77777777" w:rsidR="00F20110" w:rsidRPr="003A192E" w:rsidRDefault="00F20110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Requirement </w:t>
            </w:r>
            <w:r w:rsidR="00EE4930" w:rsidRPr="003A192E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EFF8EBB" w14:textId="77777777" w:rsidR="00EE4930" w:rsidRPr="003A192E" w:rsidRDefault="00983001" w:rsidP="003A192E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SLIPTA 3.2</w:t>
            </w:r>
            <w:r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  <w:r w:rsidR="00EE4930"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>Organizational Chart and External/Internal Reporting Systems</w:t>
            </w:r>
          </w:p>
          <w:p w14:paraId="7D1354A7" w14:textId="77777777" w:rsidR="00EE4930" w:rsidRPr="003A192E" w:rsidRDefault="00EE4930" w:rsidP="003A192E">
            <w:pPr>
              <w:rPr>
                <w:rFonts w:asciiTheme="minorHAnsi" w:hAnsiTheme="minorHAnsi" w:cstheme="minorHAnsi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sz w:val="24"/>
                <w:u w:color="000000"/>
              </w:rPr>
              <w:t>Is an organizational chart available that indicates the relationship between the laboratory and its parent organization?</w:t>
            </w:r>
          </w:p>
          <w:p w14:paraId="69A377C3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20110" w:rsidRPr="003A192E" w14:paraId="1DD060A4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2400BED9" w14:textId="77777777" w:rsidR="00F20110" w:rsidRPr="003A192E" w:rsidRDefault="00F20110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4BA64640" w14:textId="77777777" w:rsidR="005039AD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Evidence</w:t>
            </w:r>
            <w:r w:rsidR="00F20110" w:rsidRPr="003A192E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="00F20110"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4E1E0AA" w14:textId="77777777" w:rsidR="00F20110" w:rsidRPr="003A192E" w:rsidRDefault="00F20110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When asked to see the organogr</w:t>
            </w:r>
            <w:r w:rsidR="00EE4930" w:rsidRPr="003A192E">
              <w:rPr>
                <w:rFonts w:asciiTheme="minorHAnsi" w:hAnsiTheme="minorHAnsi" w:cstheme="minorHAnsi"/>
                <w:sz w:val="24"/>
              </w:rPr>
              <w:t>am, the quality manager presented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an organizati</w:t>
            </w:r>
            <w:r w:rsidR="00EE4930" w:rsidRPr="003A192E">
              <w:rPr>
                <w:rFonts w:asciiTheme="minorHAnsi" w:hAnsiTheme="minorHAnsi" w:cstheme="minorHAnsi"/>
                <w:sz w:val="24"/>
              </w:rPr>
              <w:t>onal matrix instead that depicted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reporting relationships and organizational structure.</w:t>
            </w:r>
          </w:p>
          <w:p w14:paraId="2874A450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20110" w:rsidRPr="003A192E" w14:paraId="40AF84AC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5E18234E" w14:textId="77777777" w:rsidR="00F20110" w:rsidRPr="003A192E" w:rsidRDefault="00F20110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5F0F5C39" w14:textId="77777777" w:rsidR="00F20110" w:rsidRPr="003A192E" w:rsidRDefault="00F20110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Non-Conformance – </w:t>
            </w:r>
          </w:p>
          <w:p w14:paraId="6B51DE55" w14:textId="77777777" w:rsidR="00F20110" w:rsidRPr="003A192E" w:rsidRDefault="00F20110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3ECB44BC" w14:textId="77777777" w:rsidR="00F20110" w:rsidRPr="003A192E" w:rsidRDefault="00F20110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1718C2D5" w14:textId="77777777" w:rsidR="005039AD" w:rsidRPr="003A192E" w:rsidRDefault="005039AD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2BF71363" w14:textId="77777777" w:rsidR="00F20110" w:rsidRPr="003A192E" w:rsidRDefault="00F20110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15CC6" w:rsidRPr="003A192E" w14:paraId="4EE87CFC" w14:textId="77777777" w:rsidTr="003A192E">
        <w:trPr>
          <w:jc w:val="center"/>
        </w:trPr>
        <w:tc>
          <w:tcPr>
            <w:tcW w:w="354" w:type="dxa"/>
            <w:vMerge w:val="restart"/>
            <w:vAlign w:val="center"/>
          </w:tcPr>
          <w:p w14:paraId="28818DCE" w14:textId="77777777" w:rsidR="00B15CC6" w:rsidRPr="003A192E" w:rsidRDefault="00B15CC6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0D29F114" w14:textId="77777777" w:rsidR="00B15CC6" w:rsidRPr="003A192E" w:rsidRDefault="00983001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9006" w:type="dxa"/>
          </w:tcPr>
          <w:p w14:paraId="1D124C8E" w14:textId="77777777" w:rsidR="00983001" w:rsidRPr="003A192E" w:rsidRDefault="00B15CC6" w:rsidP="003A192E">
            <w:pPr>
              <w:rPr>
                <w:rFonts w:asciiTheme="minorHAnsi" w:eastAsia="ヒラギノ角ゴ Pro W3" w:hAnsiTheme="minorHAnsi" w:cstheme="minorHAnsi"/>
                <w:b/>
                <w:color w:val="000000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Requirement -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83001" w:rsidRPr="003A192E">
              <w:rPr>
                <w:rFonts w:asciiTheme="minorHAnsi" w:eastAsia="ヒラギノ角ゴ Pro W3" w:hAnsiTheme="minorHAnsi" w:cstheme="minorHAnsi"/>
                <w:b/>
                <w:color w:val="000000"/>
                <w:sz w:val="24"/>
                <w:u w:color="000000"/>
              </w:rPr>
              <w:t xml:space="preserve"> </w:t>
            </w:r>
          </w:p>
          <w:p w14:paraId="620FB794" w14:textId="77777777" w:rsidR="00B15CC6" w:rsidRPr="003A192E" w:rsidRDefault="00983001" w:rsidP="003A192E">
            <w:pPr>
              <w:rPr>
                <w:rFonts w:asciiTheme="minorHAnsi" w:eastAsia="ヒラギノ角ゴ Pro W3" w:hAnsiTheme="minorHAnsi" w:cstheme="minorHAnsi"/>
                <w:color w:val="000000"/>
                <w:sz w:val="24"/>
                <w:u w:color="000000"/>
              </w:rPr>
            </w:pPr>
            <w:r w:rsidRPr="003A192E">
              <w:rPr>
                <w:rFonts w:asciiTheme="minorHAnsi" w:eastAsia="ヒラギノ角ゴ Pro W3" w:hAnsiTheme="minorHAnsi" w:cstheme="minorHAnsi"/>
                <w:b/>
                <w:color w:val="000000"/>
                <w:sz w:val="24"/>
                <w:u w:color="000000"/>
              </w:rPr>
              <w:t>SLIPTA 11.5</w:t>
            </w:r>
            <w:r w:rsidRPr="003A192E">
              <w:rPr>
                <w:rFonts w:asciiTheme="minorHAnsi" w:eastAsia="ヒラギノ角ゴ Pro W3" w:hAnsiTheme="minorHAnsi" w:cstheme="minorHAnsi"/>
                <w:color w:val="000000"/>
                <w:sz w:val="24"/>
                <w:u w:color="000000"/>
              </w:rPr>
              <w:t xml:space="preserve"> Is the outcome of the review of quality indicators used to improve lab performance?</w:t>
            </w:r>
          </w:p>
          <w:p w14:paraId="10029A5C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15CC6" w:rsidRPr="003A192E" w14:paraId="0D68AA59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480FA6EA" w14:textId="77777777" w:rsidR="00B15CC6" w:rsidRPr="003A192E" w:rsidRDefault="00B15CC6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1B8330E8" w14:textId="77777777" w:rsidR="005039AD" w:rsidRPr="003A192E" w:rsidRDefault="005A65FC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Evidence</w:t>
            </w:r>
            <w:r w:rsidR="00D145D7" w:rsidRPr="003A192E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="00B15CC6"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12F7FC37" w14:textId="77777777" w:rsidR="0008591B" w:rsidRPr="003A192E" w:rsidRDefault="0008591B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Your lab measures only TATs and these are met 100% of the time because they are very generous.</w:t>
            </w:r>
          </w:p>
          <w:p w14:paraId="4E938BD8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15CC6" w:rsidRPr="003A192E" w14:paraId="4A937648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035BD9C0" w14:textId="77777777" w:rsidR="00B15CC6" w:rsidRPr="003A192E" w:rsidRDefault="00B15CC6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75BD3DD0" w14:textId="77777777" w:rsidR="00B15CC6" w:rsidRPr="003A192E" w:rsidRDefault="00B15CC6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Non-Conformance – </w:t>
            </w:r>
          </w:p>
          <w:p w14:paraId="77F95510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3341346F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67855645" w14:textId="77777777" w:rsidR="005039AD" w:rsidRPr="003A192E" w:rsidRDefault="005039AD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014B8E01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62D91A9" w14:textId="77777777" w:rsidR="0067777D" w:rsidRDefault="0067777D">
      <w:r>
        <w:br w:type="page"/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54"/>
        <w:gridCol w:w="9006"/>
      </w:tblGrid>
      <w:tr w:rsidR="003A192E" w:rsidRPr="003A192E" w14:paraId="052FC14F" w14:textId="77777777" w:rsidTr="00154396">
        <w:trPr>
          <w:jc w:val="center"/>
        </w:trPr>
        <w:tc>
          <w:tcPr>
            <w:tcW w:w="9360" w:type="dxa"/>
            <w:gridSpan w:val="2"/>
            <w:vAlign w:val="center"/>
          </w:tcPr>
          <w:p w14:paraId="59FE2073" w14:textId="172E8857" w:rsidR="003A192E" w:rsidRPr="003A192E" w:rsidRDefault="003A192E" w:rsidP="003A192E">
            <w:pPr>
              <w:pStyle w:val="Header"/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</w:pPr>
            <w:r w:rsidRPr="003A192E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Worksheet 2: Writing Nonconformities </w:t>
            </w:r>
            <w:r w:rsidRPr="003A192E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4-70</w:t>
            </w:r>
          </w:p>
        </w:tc>
      </w:tr>
      <w:tr w:rsidR="00B15CC6" w:rsidRPr="003A192E" w14:paraId="6D602908" w14:textId="77777777" w:rsidTr="003A192E">
        <w:trPr>
          <w:jc w:val="center"/>
        </w:trPr>
        <w:tc>
          <w:tcPr>
            <w:tcW w:w="354" w:type="dxa"/>
            <w:vMerge w:val="restart"/>
            <w:vAlign w:val="center"/>
          </w:tcPr>
          <w:p w14:paraId="1417ABE6" w14:textId="77777777" w:rsidR="00B15CC6" w:rsidRPr="003A192E" w:rsidRDefault="00B15CC6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B2A52DF" w14:textId="77777777" w:rsidR="00B15CC6" w:rsidRPr="003A192E" w:rsidRDefault="00983001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9006" w:type="dxa"/>
          </w:tcPr>
          <w:p w14:paraId="51BA1751" w14:textId="77777777" w:rsidR="00983001" w:rsidRPr="003A192E" w:rsidRDefault="00B15CC6" w:rsidP="003A192E">
            <w:pPr>
              <w:rPr>
                <w:rFonts w:asciiTheme="minorHAnsi" w:hAnsiTheme="minorHAnsi" w:cstheme="minorHAnsi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Requirement –</w:t>
            </w:r>
            <w:r w:rsidR="0008591B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</w:t>
            </w:r>
          </w:p>
          <w:p w14:paraId="6B1D6440" w14:textId="77777777" w:rsidR="00B15CC6" w:rsidRPr="003A192E" w:rsidRDefault="0008591B" w:rsidP="003A192E">
            <w:pPr>
              <w:rPr>
                <w:rFonts w:asciiTheme="minorHAnsi" w:hAnsiTheme="minorHAnsi" w:cstheme="minorHAnsi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The </w:t>
            </w:r>
            <w:r w:rsidRPr="003A192E">
              <w:rPr>
                <w:rFonts w:asciiTheme="minorHAnsi" w:hAnsiTheme="minorHAnsi" w:cstheme="minorHAnsi"/>
                <w:i/>
                <w:sz w:val="24"/>
                <w:u w:color="000000"/>
              </w:rPr>
              <w:t>PID</w:t>
            </w:r>
            <w:r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is required by hospital policy (CCH-269A) and laboratory policy (Recp-Phleb-Pl002)</w:t>
            </w:r>
            <w:r w:rsidR="00A15F06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regarding specimen labeling</w:t>
            </w:r>
            <w:r w:rsidR="00282768" w:rsidRPr="003A192E">
              <w:rPr>
                <w:rFonts w:asciiTheme="minorHAnsi" w:hAnsiTheme="minorHAnsi" w:cstheme="minorHAnsi"/>
                <w:sz w:val="24"/>
                <w:u w:color="000000"/>
              </w:rPr>
              <w:t>.</w:t>
            </w:r>
          </w:p>
          <w:p w14:paraId="619BE5AE" w14:textId="77777777" w:rsidR="0043748A" w:rsidRPr="003A192E" w:rsidRDefault="00184396" w:rsidP="003A192E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SLIPTA 8.1</w:t>
            </w:r>
            <w:r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  <w:r w:rsidR="0043748A"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>Information for patients and users</w:t>
            </w:r>
          </w:p>
          <w:p w14:paraId="34C73CEC" w14:textId="77777777" w:rsidR="0043748A" w:rsidRPr="003A192E" w:rsidRDefault="0043748A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Are guidelines for patient identification, specimen collection (including client safety), labelling, and transport readily available to persons responsible for primary sample collection?</w:t>
            </w:r>
          </w:p>
          <w:p w14:paraId="5A78F51C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15CC6" w:rsidRPr="003A192E" w14:paraId="094BB389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1D130D65" w14:textId="77777777" w:rsidR="00B15CC6" w:rsidRPr="003A192E" w:rsidRDefault="00B15CC6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7EF5AE55" w14:textId="77777777" w:rsidR="0092502B" w:rsidRPr="003A192E" w:rsidRDefault="005A65FC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Evidence </w:t>
            </w:r>
            <w:r w:rsidR="00B15CC6" w:rsidRPr="003A192E">
              <w:rPr>
                <w:rFonts w:asciiTheme="minorHAnsi" w:hAnsiTheme="minorHAnsi" w:cstheme="minorHAnsi"/>
                <w:b/>
                <w:sz w:val="24"/>
              </w:rPr>
              <w:t>–</w:t>
            </w:r>
          </w:p>
          <w:p w14:paraId="322E007F" w14:textId="77777777" w:rsidR="00B15CC6" w:rsidRPr="003A192E" w:rsidRDefault="0008591B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3 phlebotomist</w:t>
            </w:r>
            <w:r w:rsidR="00282768" w:rsidRPr="003A192E">
              <w:rPr>
                <w:rFonts w:asciiTheme="minorHAnsi" w:hAnsiTheme="minorHAnsi" w:cstheme="minorHAnsi"/>
                <w:sz w:val="24"/>
              </w:rPr>
              <w:t>s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and the </w:t>
            </w:r>
            <w:r w:rsidR="0092502B" w:rsidRPr="003A192E">
              <w:rPr>
                <w:rFonts w:asciiTheme="minorHAnsi" w:hAnsiTheme="minorHAnsi" w:cstheme="minorHAnsi"/>
                <w:sz w:val="24"/>
              </w:rPr>
              <w:t>Phlebotomy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H</w:t>
            </w:r>
            <w:r w:rsidR="005039AD" w:rsidRPr="003A192E">
              <w:rPr>
                <w:rFonts w:asciiTheme="minorHAnsi" w:hAnsiTheme="minorHAnsi" w:cstheme="minorHAnsi"/>
                <w:sz w:val="24"/>
              </w:rPr>
              <w:t>ead of Section (H</w:t>
            </w:r>
            <w:r w:rsidRPr="003A192E">
              <w:rPr>
                <w:rFonts w:asciiTheme="minorHAnsi" w:hAnsiTheme="minorHAnsi" w:cstheme="minorHAnsi"/>
                <w:sz w:val="24"/>
              </w:rPr>
              <w:t>oS</w:t>
            </w:r>
            <w:r w:rsidR="005039AD" w:rsidRPr="003A192E">
              <w:rPr>
                <w:rFonts w:asciiTheme="minorHAnsi" w:hAnsiTheme="minorHAnsi" w:cstheme="minorHAnsi"/>
                <w:sz w:val="24"/>
              </w:rPr>
              <w:t>)</w:t>
            </w:r>
            <w:r w:rsidR="005A65FC" w:rsidRPr="003A192E">
              <w:rPr>
                <w:rFonts w:asciiTheme="minorHAnsi" w:hAnsiTheme="minorHAnsi" w:cstheme="minorHAnsi"/>
                <w:sz w:val="24"/>
              </w:rPr>
              <w:t xml:space="preserve"> were interviewed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but no one knew what </w:t>
            </w:r>
            <w:r w:rsidR="00282768" w:rsidRPr="003A192E">
              <w:rPr>
                <w:rFonts w:asciiTheme="minorHAnsi" w:hAnsiTheme="minorHAnsi" w:cstheme="minorHAnsi"/>
                <w:sz w:val="24"/>
              </w:rPr>
              <w:t xml:space="preserve">the </w:t>
            </w:r>
            <w:r w:rsidRPr="003A192E">
              <w:rPr>
                <w:rFonts w:asciiTheme="minorHAnsi" w:hAnsiTheme="minorHAnsi" w:cstheme="minorHAnsi"/>
                <w:i/>
                <w:sz w:val="24"/>
              </w:rPr>
              <w:t>PID</w:t>
            </w:r>
            <w:r w:rsidR="00EE4930" w:rsidRPr="003A192E">
              <w:rPr>
                <w:rFonts w:asciiTheme="minorHAnsi" w:hAnsiTheme="minorHAnsi" w:cstheme="minorHAnsi"/>
                <w:sz w:val="24"/>
              </w:rPr>
              <w:t xml:space="preserve"> was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.   </w:t>
            </w:r>
            <w:r w:rsidR="00282768" w:rsidRPr="003A192E">
              <w:rPr>
                <w:rFonts w:asciiTheme="minorHAnsi" w:hAnsiTheme="minorHAnsi" w:cstheme="minorHAnsi"/>
                <w:sz w:val="24"/>
              </w:rPr>
              <w:t xml:space="preserve">Whatever it is, 10 out of 10 specimens </w:t>
            </w:r>
            <w:r w:rsidR="00983001" w:rsidRPr="003A192E">
              <w:rPr>
                <w:rFonts w:asciiTheme="minorHAnsi" w:hAnsiTheme="minorHAnsi" w:cstheme="minorHAnsi"/>
                <w:sz w:val="24"/>
              </w:rPr>
              <w:t>probably don’</w:t>
            </w:r>
            <w:r w:rsidR="00282768" w:rsidRPr="003A192E">
              <w:rPr>
                <w:rFonts w:asciiTheme="minorHAnsi" w:hAnsiTheme="minorHAnsi" w:cstheme="minorHAnsi"/>
                <w:sz w:val="24"/>
              </w:rPr>
              <w:t>t h</w:t>
            </w:r>
            <w:r w:rsidR="00394A63" w:rsidRPr="003A192E">
              <w:rPr>
                <w:rFonts w:asciiTheme="minorHAnsi" w:hAnsiTheme="minorHAnsi" w:cstheme="minorHAnsi"/>
                <w:sz w:val="24"/>
              </w:rPr>
              <w:t>ave it since only the last name</w:t>
            </w:r>
            <w:r w:rsidR="005A65FC" w:rsidRPr="003A192E">
              <w:rPr>
                <w:rFonts w:asciiTheme="minorHAnsi" w:hAnsiTheme="minorHAnsi" w:cstheme="minorHAnsi"/>
                <w:sz w:val="24"/>
              </w:rPr>
              <w:t xml:space="preserve"> was written on each</w:t>
            </w:r>
            <w:r w:rsidR="00282768" w:rsidRPr="003A192E">
              <w:rPr>
                <w:rFonts w:asciiTheme="minorHAnsi" w:hAnsiTheme="minorHAnsi" w:cstheme="minorHAnsi"/>
                <w:sz w:val="24"/>
              </w:rPr>
              <w:t xml:space="preserve"> tube.</w:t>
            </w:r>
          </w:p>
          <w:p w14:paraId="29D5C74E" w14:textId="77777777" w:rsidR="00282768" w:rsidRPr="003A192E" w:rsidRDefault="00282768" w:rsidP="003A19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34" w:hanging="180"/>
              <w:rPr>
                <w:rFonts w:cstheme="minorHAnsi"/>
                <w:sz w:val="24"/>
                <w:szCs w:val="24"/>
              </w:rPr>
            </w:pPr>
          </w:p>
        </w:tc>
      </w:tr>
      <w:tr w:rsidR="00B15CC6" w:rsidRPr="003A192E" w14:paraId="6E6B6449" w14:textId="77777777" w:rsidTr="003A192E">
        <w:trPr>
          <w:jc w:val="center"/>
        </w:trPr>
        <w:tc>
          <w:tcPr>
            <w:tcW w:w="354" w:type="dxa"/>
            <w:vMerge/>
            <w:vAlign w:val="center"/>
          </w:tcPr>
          <w:p w14:paraId="38334B16" w14:textId="77777777" w:rsidR="00B15CC6" w:rsidRPr="003A192E" w:rsidRDefault="00B15CC6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22D46D4D" w14:textId="77777777" w:rsidR="00B15CC6" w:rsidRPr="003A192E" w:rsidRDefault="00B15CC6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Non-Conformance – </w:t>
            </w:r>
          </w:p>
          <w:p w14:paraId="4A71E270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0E08B6C3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7F5802AB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15CC6" w:rsidRPr="003A192E" w14:paraId="3739F644" w14:textId="77777777" w:rsidTr="003A192E">
        <w:trPr>
          <w:jc w:val="center"/>
        </w:trPr>
        <w:tc>
          <w:tcPr>
            <w:tcW w:w="354" w:type="dxa"/>
            <w:vMerge w:val="restart"/>
            <w:vAlign w:val="center"/>
          </w:tcPr>
          <w:p w14:paraId="28F342A0" w14:textId="77777777" w:rsidR="00B15CC6" w:rsidRPr="003A192E" w:rsidRDefault="00B15CC6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74FC294" w14:textId="77777777" w:rsidR="00B15CC6" w:rsidRPr="003A192E" w:rsidRDefault="00983001" w:rsidP="003A19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9006" w:type="dxa"/>
          </w:tcPr>
          <w:p w14:paraId="69E8620F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Requirement –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1306BF6E" w14:textId="77777777" w:rsidR="00B15CC6" w:rsidRPr="003A192E" w:rsidRDefault="00184396" w:rsidP="003A192E">
            <w:pPr>
              <w:rPr>
                <w:rFonts w:asciiTheme="minorHAnsi" w:hAnsiTheme="minorHAnsi" w:cstheme="minorHAnsi"/>
                <w:sz w:val="24"/>
                <w:u w:color="000000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SLIPTA </w:t>
            </w:r>
            <w:r w:rsidR="0043748A" w:rsidRPr="003A192E">
              <w:rPr>
                <w:rFonts w:asciiTheme="minorHAnsi" w:hAnsiTheme="minorHAnsi" w:cstheme="minorHAnsi"/>
                <w:b/>
                <w:sz w:val="24"/>
              </w:rPr>
              <w:t>8.2</w:t>
            </w:r>
            <w:r w:rsidR="0043748A" w:rsidRPr="003A192E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Does the laboratory adequately collect information needed for examination performance?</w:t>
            </w:r>
            <w:r w:rsidR="0043748A" w:rsidRPr="003A192E">
              <w:rPr>
                <w:rFonts w:asciiTheme="minorHAnsi" w:hAnsiTheme="minorHAnsi" w:cstheme="minorHAnsi"/>
                <w:sz w:val="24"/>
                <w:u w:color="000000"/>
              </w:rPr>
              <w:t xml:space="preserve"> f) Date of sample collection (And time of collection where relevant – where time has an impact on the result)</w:t>
            </w:r>
          </w:p>
          <w:p w14:paraId="04EA9A9C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15CC6" w:rsidRPr="003A192E" w14:paraId="79BC2604" w14:textId="77777777" w:rsidTr="003A192E">
        <w:trPr>
          <w:jc w:val="center"/>
        </w:trPr>
        <w:tc>
          <w:tcPr>
            <w:tcW w:w="354" w:type="dxa"/>
            <w:vMerge/>
          </w:tcPr>
          <w:p w14:paraId="45A94CE5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0AF7BDE5" w14:textId="77777777" w:rsidR="00184396" w:rsidRPr="003A192E" w:rsidRDefault="005A65FC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>Evidence</w:t>
            </w:r>
            <w:r w:rsidR="00B15CC6" w:rsidRPr="003A192E">
              <w:rPr>
                <w:rFonts w:asciiTheme="minorHAnsi" w:hAnsiTheme="minorHAnsi" w:cstheme="minorHAnsi"/>
                <w:b/>
                <w:sz w:val="24"/>
              </w:rPr>
              <w:t xml:space="preserve"> –</w:t>
            </w:r>
          </w:p>
          <w:p w14:paraId="5D3C9F5B" w14:textId="77777777" w:rsidR="00B15CC6" w:rsidRPr="003A192E" w:rsidRDefault="004F16DA" w:rsidP="003A192E">
            <w:pPr>
              <w:rPr>
                <w:rFonts w:asciiTheme="minorHAnsi" w:hAnsiTheme="minorHAnsi" w:cstheme="minorHAnsi"/>
                <w:sz w:val="24"/>
              </w:rPr>
            </w:pPr>
            <w:r w:rsidRPr="003A192E">
              <w:rPr>
                <w:rFonts w:asciiTheme="minorHAnsi" w:hAnsiTheme="minorHAnsi" w:cstheme="minorHAnsi"/>
                <w:sz w:val="24"/>
              </w:rPr>
              <w:t>All</w:t>
            </w:r>
            <w:r w:rsidR="00D145D7" w:rsidRPr="003A192E">
              <w:rPr>
                <w:rFonts w:asciiTheme="minorHAnsi" w:hAnsiTheme="minorHAnsi" w:cstheme="minorHAnsi"/>
                <w:sz w:val="24"/>
              </w:rPr>
              <w:t xml:space="preserve">10 CD4 tubes 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examined </w:t>
            </w:r>
            <w:r w:rsidR="00D145D7" w:rsidRPr="003A192E">
              <w:rPr>
                <w:rFonts w:asciiTheme="minorHAnsi" w:hAnsiTheme="minorHAnsi" w:cstheme="minorHAnsi"/>
                <w:sz w:val="24"/>
              </w:rPr>
              <w:t xml:space="preserve">were labelled with the date and time, </w:t>
            </w:r>
            <w:r w:rsidRPr="003A192E">
              <w:rPr>
                <w:rFonts w:asciiTheme="minorHAnsi" w:hAnsiTheme="minorHAnsi" w:cstheme="minorHAnsi"/>
                <w:sz w:val="24"/>
              </w:rPr>
              <w:t xml:space="preserve">except for 1 tube which was missing the year.  </w:t>
            </w:r>
          </w:p>
          <w:p w14:paraId="79BA437E" w14:textId="77777777" w:rsidR="0067777D" w:rsidRPr="003A192E" w:rsidRDefault="0067777D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15CC6" w:rsidRPr="003A192E" w14:paraId="434D2EC4" w14:textId="77777777" w:rsidTr="003A192E">
        <w:trPr>
          <w:jc w:val="center"/>
        </w:trPr>
        <w:tc>
          <w:tcPr>
            <w:tcW w:w="354" w:type="dxa"/>
            <w:vMerge/>
          </w:tcPr>
          <w:p w14:paraId="420B615D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06" w:type="dxa"/>
          </w:tcPr>
          <w:p w14:paraId="49A2F4A4" w14:textId="77777777" w:rsidR="00B15CC6" w:rsidRPr="003A192E" w:rsidRDefault="00B15CC6" w:rsidP="003A19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192E">
              <w:rPr>
                <w:rFonts w:asciiTheme="minorHAnsi" w:hAnsiTheme="minorHAnsi" w:cstheme="minorHAnsi"/>
                <w:b/>
                <w:sz w:val="24"/>
              </w:rPr>
              <w:t xml:space="preserve">Non-Conformance – </w:t>
            </w:r>
          </w:p>
          <w:p w14:paraId="0B9018D7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32159ABE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  <w:p w14:paraId="01DE2C11" w14:textId="77777777" w:rsidR="00B15CC6" w:rsidRPr="003A192E" w:rsidRDefault="00B15CC6" w:rsidP="003A192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307DD97" w14:textId="77777777" w:rsidR="00B15CC6" w:rsidRDefault="00B15CC6"/>
    <w:sectPr w:rsidR="00B15CC6" w:rsidSect="003A192E">
      <w:pgSz w:w="11906" w:h="16838" w:code="9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9154" w14:textId="77777777" w:rsidR="00C4298E" w:rsidRDefault="00C4298E" w:rsidP="005039AD">
      <w:r>
        <w:separator/>
      </w:r>
    </w:p>
  </w:endnote>
  <w:endnote w:type="continuationSeparator" w:id="0">
    <w:p w14:paraId="7D6E5B11" w14:textId="77777777" w:rsidR="00C4298E" w:rsidRDefault="00C4298E" w:rsidP="005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29F7E" w14:textId="77777777" w:rsidR="00C4298E" w:rsidRDefault="00C4298E" w:rsidP="005039AD">
      <w:r>
        <w:separator/>
      </w:r>
    </w:p>
  </w:footnote>
  <w:footnote w:type="continuationSeparator" w:id="0">
    <w:p w14:paraId="1FB13BBC" w14:textId="77777777" w:rsidR="00C4298E" w:rsidRDefault="00C4298E" w:rsidP="0050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77549"/>
    <w:multiLevelType w:val="multilevel"/>
    <w:tmpl w:val="8B08250A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DE20486"/>
    <w:multiLevelType w:val="multilevel"/>
    <w:tmpl w:val="4BD0F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5C3946A3"/>
    <w:multiLevelType w:val="multilevel"/>
    <w:tmpl w:val="43BA8A4E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64777ABD"/>
    <w:multiLevelType w:val="multilevel"/>
    <w:tmpl w:val="E160B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72AF6314"/>
    <w:multiLevelType w:val="multilevel"/>
    <w:tmpl w:val="DD42CC3C"/>
    <w:lvl w:ilvl="0">
      <w:start w:val="7"/>
      <w:numFmt w:val="decimal"/>
      <w:lvlText w:val="%1.0"/>
      <w:lvlJc w:val="left"/>
      <w:pPr>
        <w:tabs>
          <w:tab w:val="num" w:pos="450"/>
        </w:tabs>
        <w:ind w:left="450" w:hanging="45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50"/>
      </w:pPr>
      <w:rPr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5" w15:restartNumberingAfterBreak="0">
    <w:nsid w:val="7A0729F3"/>
    <w:multiLevelType w:val="hybridMultilevel"/>
    <w:tmpl w:val="905A70DA"/>
    <w:lvl w:ilvl="0" w:tplc="65083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C6"/>
    <w:rsid w:val="0008591B"/>
    <w:rsid w:val="00096A69"/>
    <w:rsid w:val="000D2646"/>
    <w:rsid w:val="000E23BA"/>
    <w:rsid w:val="00184396"/>
    <w:rsid w:val="00266EB1"/>
    <w:rsid w:val="00282768"/>
    <w:rsid w:val="00394A63"/>
    <w:rsid w:val="003A192E"/>
    <w:rsid w:val="003C740B"/>
    <w:rsid w:val="004212E2"/>
    <w:rsid w:val="0043748A"/>
    <w:rsid w:val="004446EA"/>
    <w:rsid w:val="00461C9F"/>
    <w:rsid w:val="004F16DA"/>
    <w:rsid w:val="005039AD"/>
    <w:rsid w:val="005A65FC"/>
    <w:rsid w:val="0067777D"/>
    <w:rsid w:val="006D5108"/>
    <w:rsid w:val="006F129E"/>
    <w:rsid w:val="007305AE"/>
    <w:rsid w:val="00732391"/>
    <w:rsid w:val="0079339A"/>
    <w:rsid w:val="007B5B28"/>
    <w:rsid w:val="008550D1"/>
    <w:rsid w:val="008D4355"/>
    <w:rsid w:val="0092502B"/>
    <w:rsid w:val="00983001"/>
    <w:rsid w:val="009F7AEF"/>
    <w:rsid w:val="00A15F06"/>
    <w:rsid w:val="00B15CC6"/>
    <w:rsid w:val="00B93303"/>
    <w:rsid w:val="00BB6ABB"/>
    <w:rsid w:val="00C4298E"/>
    <w:rsid w:val="00C74B03"/>
    <w:rsid w:val="00CE5E3B"/>
    <w:rsid w:val="00D03F6C"/>
    <w:rsid w:val="00D145D7"/>
    <w:rsid w:val="00DB6965"/>
    <w:rsid w:val="00DC0915"/>
    <w:rsid w:val="00DC3D7B"/>
    <w:rsid w:val="00E63126"/>
    <w:rsid w:val="00EE4930"/>
    <w:rsid w:val="00F20110"/>
    <w:rsid w:val="00F763B1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E3B6"/>
  <w15:chartTrackingRefBased/>
  <w15:docId w15:val="{DD695DDB-13A6-4D95-BC7B-C8DD53E6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5CC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3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9AD"/>
    <w:rPr>
      <w:rFonts w:ascii="Arial" w:eastAsia="Times New Roman" w:hAnsi="Arial" w:cs="Times New Roman"/>
      <w:sz w:val="20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3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9AD"/>
    <w:rPr>
      <w:rFonts w:ascii="Arial" w:eastAsia="Times New Roman" w:hAnsi="Arial" w:cs="Times New Roman"/>
      <w:sz w:val="20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65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Murphy</dc:creator>
  <cp:keywords/>
  <dc:description/>
  <cp:lastModifiedBy>Yao, Katy (CDC/DDPHSIS/CGH/DGHT)</cp:lastModifiedBy>
  <cp:revision>15</cp:revision>
  <cp:lastPrinted>2018-04-11T14:16:00Z</cp:lastPrinted>
  <dcterms:created xsi:type="dcterms:W3CDTF">2016-08-06T20:44:00Z</dcterms:created>
  <dcterms:modified xsi:type="dcterms:W3CDTF">2020-02-26T14:34:00Z</dcterms:modified>
</cp:coreProperties>
</file>